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Default="005B08BF" w:rsidP="0030001A">
      <w:pPr>
        <w:spacing w:line="276" w:lineRule="auto"/>
        <w:jc w:val="both"/>
        <w:rPr>
          <w:bCs/>
          <w:lang w:val="ro-RO" w:eastAsia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C720F3">
        <w:rPr>
          <w:rFonts w:eastAsia="Calibri"/>
          <w:b/>
        </w:rPr>
        <w:t>Secretar</w:t>
      </w:r>
      <w:proofErr w:type="spellEnd"/>
      <w:r w:rsidR="00C720F3">
        <w:rPr>
          <w:rFonts w:eastAsia="Calibri"/>
          <w:b/>
        </w:rPr>
        <w:t xml:space="preserve"> </w:t>
      </w:r>
      <w:proofErr w:type="spellStart"/>
      <w:r w:rsidR="00C720F3">
        <w:rPr>
          <w:rFonts w:eastAsia="Calibri"/>
          <w:b/>
        </w:rPr>
        <w:t>proiect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2 posturi - </w:t>
      </w:r>
      <w:r w:rsidRPr="007432DE">
        <w:rPr>
          <w:lang w:val="ro-RO"/>
        </w:rPr>
        <w:t xml:space="preserve">în cadrul proiectului </w:t>
      </w:r>
      <w:r w:rsidR="0030001A" w:rsidRPr="00B62A2A">
        <w:rPr>
          <w:lang w:val="ro-RO"/>
        </w:rPr>
        <w:t>„</w:t>
      </w:r>
      <w:bookmarkStart w:id="0" w:name="_Hlk72229509"/>
      <w:r w:rsidR="0030001A" w:rsidRPr="00B62A2A">
        <w:rPr>
          <w:b/>
          <w:bCs/>
          <w:lang w:val="ro-RO"/>
        </w:rPr>
        <w:t>Îmbunătățirea calității proceselor didactice online și on site prin dezvoltarea unui sistem de securitate, identificare și autentificare în spiritul respectării deontologiei și eticii academice</w:t>
      </w:r>
      <w:bookmarkEnd w:id="0"/>
      <w:r w:rsidR="0030001A" w:rsidRPr="00B62A2A">
        <w:rPr>
          <w:bCs/>
          <w:lang w:val="ro-RO" w:eastAsia="ro-RO"/>
        </w:rPr>
        <w:t>”, CNFIS-FDI-2021-0039</w:t>
      </w:r>
      <w:r w:rsidR="0030001A">
        <w:rPr>
          <w:bCs/>
          <w:lang w:val="ro-RO" w:eastAsia="ro-RO"/>
        </w:rPr>
        <w:t>.</w:t>
      </w:r>
    </w:p>
    <w:p w:rsidR="0030001A" w:rsidRPr="007432DE" w:rsidRDefault="0030001A" w:rsidP="0030001A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C720F3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Secretar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940EC9" w:rsidP="00C8431D">
            <w:pPr>
              <w:jc w:val="center"/>
              <w:rPr>
                <w:lang w:val="ro-RO"/>
              </w:rPr>
            </w:pPr>
            <w:r w:rsidRPr="007432DE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Asigurarea administrativă și gestiunea documentelor rezultate din activitățile proiectului, în conformitate cu prevederile legale specifice proiectelor de dezvoltare instituțională.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Elaborarea materialelor aferente activităților din cadrul proiectului;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Participarea la organizarea evenimentelor derulate în cadrul proiectului;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Comunicarea permanentă a activităților proiectului, precum și a rezultatelor obținute în urma implementării;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Colaborarea cu membrii echipei de proiect în vederea implementării activităților proiectului.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C720F3" w:rsidRDefault="00C720F3" w:rsidP="00C720F3">
      <w:pPr>
        <w:pStyle w:val="ListParagraph"/>
        <w:numPr>
          <w:ilvl w:val="0"/>
          <w:numId w:val="8"/>
        </w:numPr>
        <w:tabs>
          <w:tab w:val="left" w:pos="211"/>
          <w:tab w:val="left" w:pos="304"/>
        </w:tabs>
        <w:spacing w:line="276" w:lineRule="auto"/>
        <w:jc w:val="both"/>
      </w:pPr>
      <w:r>
        <w:t xml:space="preserve">Planurile de învățământ pentru programele de studii universitare; </w:t>
      </w:r>
    </w:p>
    <w:p w:rsidR="00C720F3" w:rsidRDefault="00C720F3" w:rsidP="00C720F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t>Rolul ANC și ARACIS în creșterea continuă a calității învățământului superior românesc;</w:t>
      </w:r>
    </w:p>
    <w:p w:rsidR="00C720F3" w:rsidRDefault="00C720F3" w:rsidP="00C720F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Rezultatele învățării la programele de studii universitare. </w:t>
      </w:r>
    </w:p>
    <w:p w:rsidR="005B08BF" w:rsidRPr="007432DE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C720F3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C720F3" w:rsidRDefault="00C720F3" w:rsidP="00C720F3">
      <w:pPr>
        <w:pStyle w:val="ListParagraph"/>
        <w:rPr>
          <w:lang w:eastAsia="ro-RO"/>
        </w:rPr>
      </w:pPr>
    </w:p>
    <w:p w:rsidR="00C720F3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</w:pPr>
      <w:r>
        <w:rPr>
          <w:lang w:eastAsia="ro-RO"/>
        </w:rPr>
        <w:t>Legii Educaţiei Naţionale nr. 1 din 2011,cu modificările și completările ulterioare;</w:t>
      </w:r>
    </w:p>
    <w:p w:rsidR="00C720F3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ORDINUL M.E.N. nr. 3.475 din 17 martie 2017 pentru aprobarea Metodologiei METODOLOGIE din 17 martie 2017 de înscriere și înregistrare a calificărilor din </w:t>
      </w:r>
      <w:r>
        <w:rPr>
          <w:lang w:eastAsia="ro-RO"/>
        </w:rPr>
        <w:lastRenderedPageBreak/>
        <w:t>învățământul superior în Registrul Național al Calificărilor din Învățământul Superior (RNCIS);</w:t>
      </w:r>
    </w:p>
    <w:p w:rsidR="00C720F3" w:rsidRPr="007432DE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Standardele specifice privind evaluarea externă a calității academice la programele de studii universitare de licență și de master (ARACIS).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C61659" w:rsidRPr="00C61659">
        <w:rPr>
          <w:lang w:eastAsia="ro-RO"/>
        </w:rPr>
        <w:t xml:space="preserve"> </w:t>
      </w:r>
      <w:r w:rsidR="00C61659" w:rsidRPr="007432DE">
        <w:rPr>
          <w:lang w:eastAsia="ro-RO"/>
        </w:rPr>
        <w:t>sau d</w:t>
      </w:r>
      <w:r w:rsidR="00C61659">
        <w:rPr>
          <w:lang w:eastAsia="ro-RO"/>
        </w:rPr>
        <w:t>eclarația pe propria răspundere că este apt clinic pentru participarea în echipa de proiect CNFIS-FDI-202</w:t>
      </w:r>
      <w:r w:rsidR="00324531">
        <w:rPr>
          <w:lang w:eastAsia="ro-RO"/>
        </w:rPr>
        <w:t>1</w:t>
      </w:r>
      <w:r w:rsidR="00C61659">
        <w:rPr>
          <w:lang w:eastAsia="ro-RO"/>
        </w:rPr>
        <w:t>-</w:t>
      </w:r>
      <w:r w:rsidR="00324531">
        <w:rPr>
          <w:lang w:eastAsia="ro-RO"/>
        </w:rPr>
        <w:t>00</w:t>
      </w:r>
      <w:r w:rsidR="00C61659">
        <w:rPr>
          <w:lang w:eastAsia="ro-RO"/>
        </w:rPr>
        <w:t>3</w:t>
      </w:r>
      <w:r w:rsidR="00324531">
        <w:rPr>
          <w:lang w:eastAsia="ro-RO"/>
        </w:rPr>
        <w:t>9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0001A" w:rsidRPr="00B62A2A" w:rsidRDefault="0030001A" w:rsidP="0030001A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>
        <w:rPr>
          <w:lang w:val="ro-RO"/>
        </w:rPr>
        <w:t>0</w:t>
      </w:r>
      <w:r w:rsidR="000D242E">
        <w:rPr>
          <w:lang w:val="ro-RO"/>
        </w:rPr>
        <w:t>3</w:t>
      </w:r>
      <w:bookmarkStart w:id="2" w:name="_GoBack"/>
      <w:bookmarkEnd w:id="2"/>
      <w:r w:rsidRPr="00B62A2A">
        <w:rPr>
          <w:lang w:val="ro-RO"/>
        </w:rPr>
        <w:t>.0</w:t>
      </w:r>
      <w:r>
        <w:rPr>
          <w:lang w:val="ro-RO"/>
        </w:rPr>
        <w:t>6</w:t>
      </w:r>
      <w:r w:rsidRPr="00B62A2A">
        <w:rPr>
          <w:lang w:val="ro-RO"/>
        </w:rPr>
        <w:t>.202</w:t>
      </w:r>
      <w:r>
        <w:rPr>
          <w:lang w:val="ro-RO"/>
        </w:rPr>
        <w:t>1</w:t>
      </w:r>
      <w:r w:rsidRPr="00B62A2A">
        <w:rPr>
          <w:lang w:val="ro-RO"/>
        </w:rPr>
        <w:t xml:space="preserve">, ora 14.00, la Registratura ASE. </w:t>
      </w:r>
    </w:p>
    <w:p w:rsidR="0030001A" w:rsidRPr="00B62A2A" w:rsidRDefault="0030001A" w:rsidP="0030001A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30001A" w:rsidRPr="00B62A2A" w:rsidRDefault="0030001A" w:rsidP="0030001A">
      <w:pPr>
        <w:spacing w:after="120"/>
        <w:jc w:val="both"/>
        <w:rPr>
          <w:lang w:val="ro-RO"/>
        </w:rPr>
      </w:pPr>
    </w:p>
    <w:p w:rsidR="0030001A" w:rsidRPr="00B62A2A" w:rsidRDefault="0030001A" w:rsidP="0030001A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30001A" w:rsidRPr="00B62A2A" w:rsidTr="00B05D3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30001A" w:rsidRPr="00B62A2A" w:rsidTr="00B05D34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30001A" w:rsidRPr="00B62A2A" w:rsidTr="00B05D34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  <w:r w:rsidRPr="00B62A2A">
              <w:rPr>
                <w:sz w:val="22"/>
                <w:szCs w:val="20"/>
                <w:lang w:val="ro-RO"/>
              </w:rPr>
              <w:t>-</w:t>
            </w:r>
            <w:r>
              <w:rPr>
                <w:sz w:val="22"/>
                <w:szCs w:val="20"/>
                <w:lang w:val="ro-RO"/>
              </w:rPr>
              <w:t>0</w:t>
            </w:r>
            <w:r w:rsidR="00C05A9A">
              <w:rPr>
                <w:sz w:val="22"/>
                <w:szCs w:val="20"/>
                <w:lang w:val="ro-RO"/>
              </w:rPr>
              <w:t>3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30001A" w:rsidRPr="00B62A2A" w:rsidTr="00B05D34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30001A" w:rsidRPr="00B62A2A" w:rsidTr="00B05D34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30001A" w:rsidRPr="00B62A2A" w:rsidTr="00B05D34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30001A" w:rsidRPr="00B62A2A" w:rsidTr="00B05D34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30001A" w:rsidRPr="00B62A2A" w:rsidTr="00B05D34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30001A" w:rsidRPr="00B62A2A" w:rsidTr="00B05D34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30001A" w:rsidRPr="00B62A2A" w:rsidTr="00B05D34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30001A" w:rsidRPr="00B62A2A" w:rsidTr="00B05D34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30001A" w:rsidRPr="00B62A2A" w:rsidTr="00B05D34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30001A" w:rsidRPr="00B62A2A" w:rsidTr="00B05D34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001A" w:rsidRPr="00B62A2A" w:rsidRDefault="0030001A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30001A" w:rsidRPr="00B62A2A" w:rsidRDefault="0030001A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001A" w:rsidRPr="00B62A2A" w:rsidRDefault="0030001A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30001A" w:rsidRPr="00B62A2A" w:rsidRDefault="0030001A" w:rsidP="0030001A">
      <w:pPr>
        <w:spacing w:after="120"/>
        <w:jc w:val="both"/>
        <w:rPr>
          <w:lang w:val="ro-RO"/>
        </w:rPr>
      </w:pPr>
    </w:p>
    <w:p w:rsidR="0030001A" w:rsidRPr="00B62A2A" w:rsidRDefault="0030001A" w:rsidP="0030001A">
      <w:pPr>
        <w:spacing w:after="120"/>
        <w:jc w:val="both"/>
        <w:rPr>
          <w:lang w:val="ro-RO"/>
        </w:rPr>
      </w:pPr>
    </w:p>
    <w:p w:rsidR="0030001A" w:rsidRPr="00B62A2A" w:rsidRDefault="0030001A" w:rsidP="0030001A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Data: </w:t>
      </w:r>
      <w:r>
        <w:rPr>
          <w:lang w:val="ro-RO"/>
        </w:rPr>
        <w:t>26</w:t>
      </w:r>
      <w:r w:rsidRPr="00B62A2A">
        <w:rPr>
          <w:lang w:val="ro-RO"/>
        </w:rPr>
        <w:t>.0</w:t>
      </w:r>
      <w:r>
        <w:rPr>
          <w:lang w:val="ro-RO"/>
        </w:rPr>
        <w:t>5</w:t>
      </w:r>
      <w:r w:rsidRPr="00B62A2A">
        <w:rPr>
          <w:lang w:val="ro-RO"/>
        </w:rPr>
        <w:t>.202</w:t>
      </w:r>
      <w:r>
        <w:rPr>
          <w:lang w:val="ro-RO"/>
        </w:rPr>
        <w:t>1</w:t>
      </w:r>
    </w:p>
    <w:p w:rsidR="0030001A" w:rsidRPr="00B62A2A" w:rsidRDefault="0030001A" w:rsidP="0030001A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30001A" w:rsidRPr="00B62A2A" w:rsidRDefault="0030001A" w:rsidP="0030001A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E2" w:rsidRDefault="006004E2">
      <w:r>
        <w:separator/>
      </w:r>
    </w:p>
  </w:endnote>
  <w:endnote w:type="continuationSeparator" w:id="0">
    <w:p w:rsidR="006004E2" w:rsidRDefault="006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B431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E2" w:rsidRDefault="006004E2">
      <w:r>
        <w:separator/>
      </w:r>
    </w:p>
  </w:footnote>
  <w:footnote w:type="continuationSeparator" w:id="0">
    <w:p w:rsidR="006004E2" w:rsidRDefault="0060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4B4316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7"/>
  </w:num>
  <w:num w:numId="11">
    <w:abstractNumId w:val="4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19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C2E27"/>
    <w:rsid w:val="000C6966"/>
    <w:rsid w:val="000D242E"/>
    <w:rsid w:val="000E3DC3"/>
    <w:rsid w:val="000F69D1"/>
    <w:rsid w:val="0014326D"/>
    <w:rsid w:val="00194DB3"/>
    <w:rsid w:val="00195A83"/>
    <w:rsid w:val="001C0B5F"/>
    <w:rsid w:val="0022001B"/>
    <w:rsid w:val="002375E0"/>
    <w:rsid w:val="00254F71"/>
    <w:rsid w:val="00263835"/>
    <w:rsid w:val="002D077C"/>
    <w:rsid w:val="002D58FA"/>
    <w:rsid w:val="0030001A"/>
    <w:rsid w:val="00300820"/>
    <w:rsid w:val="003147A3"/>
    <w:rsid w:val="00324531"/>
    <w:rsid w:val="00335B6D"/>
    <w:rsid w:val="0035096F"/>
    <w:rsid w:val="003B3ED4"/>
    <w:rsid w:val="003F62A3"/>
    <w:rsid w:val="00413E47"/>
    <w:rsid w:val="00434904"/>
    <w:rsid w:val="00442624"/>
    <w:rsid w:val="00464AA0"/>
    <w:rsid w:val="00470DE5"/>
    <w:rsid w:val="00486A34"/>
    <w:rsid w:val="004B4316"/>
    <w:rsid w:val="004B5B5E"/>
    <w:rsid w:val="004D4957"/>
    <w:rsid w:val="004F3DA3"/>
    <w:rsid w:val="00520F7F"/>
    <w:rsid w:val="0053321B"/>
    <w:rsid w:val="00595366"/>
    <w:rsid w:val="005B08BF"/>
    <w:rsid w:val="005C4FC2"/>
    <w:rsid w:val="006004E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D5FD6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B7100"/>
    <w:rsid w:val="00AE10D2"/>
    <w:rsid w:val="00B02E09"/>
    <w:rsid w:val="00B11256"/>
    <w:rsid w:val="00B968F7"/>
    <w:rsid w:val="00BB49DE"/>
    <w:rsid w:val="00BC43F0"/>
    <w:rsid w:val="00BD12D5"/>
    <w:rsid w:val="00C05A9A"/>
    <w:rsid w:val="00C17084"/>
    <w:rsid w:val="00C43278"/>
    <w:rsid w:val="00C45029"/>
    <w:rsid w:val="00C5054A"/>
    <w:rsid w:val="00C61659"/>
    <w:rsid w:val="00C720F3"/>
    <w:rsid w:val="00C74299"/>
    <w:rsid w:val="00C84244"/>
    <w:rsid w:val="00C8431D"/>
    <w:rsid w:val="00C96785"/>
    <w:rsid w:val="00D42650"/>
    <w:rsid w:val="00D45C62"/>
    <w:rsid w:val="00D75783"/>
    <w:rsid w:val="00D8356B"/>
    <w:rsid w:val="00DB743B"/>
    <w:rsid w:val="00DC769F"/>
    <w:rsid w:val="00E20C14"/>
    <w:rsid w:val="00E2766B"/>
    <w:rsid w:val="00E71FFB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674EF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6721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26</cp:revision>
  <cp:lastPrinted>2017-05-16T12:04:00Z</cp:lastPrinted>
  <dcterms:created xsi:type="dcterms:W3CDTF">2019-05-20T08:57:00Z</dcterms:created>
  <dcterms:modified xsi:type="dcterms:W3CDTF">2021-05-27T07:32:00Z</dcterms:modified>
</cp:coreProperties>
</file>